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Nunito Sans" w:cs="Nunito Sans" w:eastAsia="Nunito Sans" w:hAnsi="Nunito Sans"/>
          <w:color w:val="212529"/>
          <w:highlight w:val="white"/>
        </w:rPr>
      </w:pPr>
      <w:r w:rsidDel="00000000" w:rsidR="00000000" w:rsidRPr="00000000">
        <w:rPr>
          <w:rFonts w:ascii="Nunito Sans" w:cs="Nunito Sans" w:eastAsia="Nunito Sans" w:hAnsi="Nunito Sans"/>
          <w:color w:val="212529"/>
          <w:highlight w:val="white"/>
          <w:rtl w:val="0"/>
        </w:rPr>
        <w:t xml:space="preserve">Navendu Mishra MP </w:t>
      </w:r>
    </w:p>
    <w:p w:rsidR="00000000" w:rsidDel="00000000" w:rsidP="00000000" w:rsidRDefault="00000000" w:rsidRPr="00000000" w14:paraId="00000002">
      <w:pPr>
        <w:rPr>
          <w:rFonts w:ascii="Nunito Sans" w:cs="Nunito Sans" w:eastAsia="Nunito Sans" w:hAnsi="Nunito Sans"/>
          <w:color w:val="212529"/>
          <w:highlight w:val="white"/>
        </w:rPr>
      </w:pPr>
      <w:r w:rsidDel="00000000" w:rsidR="00000000" w:rsidRPr="00000000">
        <w:rPr>
          <w:rFonts w:ascii="Nunito Sans" w:cs="Nunito Sans" w:eastAsia="Nunito Sans" w:hAnsi="Nunito Sans"/>
          <w:color w:val="212529"/>
          <w:highlight w:val="white"/>
          <w:rtl w:val="0"/>
        </w:rPr>
        <w:t xml:space="preserve">House of Commons</w:t>
      </w:r>
    </w:p>
    <w:p w:rsidR="00000000" w:rsidDel="00000000" w:rsidP="00000000" w:rsidRDefault="00000000" w:rsidRPr="00000000" w14:paraId="00000003">
      <w:pPr>
        <w:rPr>
          <w:rFonts w:ascii="Nunito Sans" w:cs="Nunito Sans" w:eastAsia="Nunito Sans" w:hAnsi="Nunito Sans"/>
          <w:color w:val="212529"/>
          <w:highlight w:val="white"/>
        </w:rPr>
      </w:pPr>
      <w:r w:rsidDel="00000000" w:rsidR="00000000" w:rsidRPr="00000000">
        <w:rPr>
          <w:rFonts w:ascii="Nunito Sans" w:cs="Nunito Sans" w:eastAsia="Nunito Sans" w:hAnsi="Nunito Sans"/>
          <w:color w:val="212529"/>
          <w:highlight w:val="white"/>
          <w:rtl w:val="0"/>
        </w:rPr>
        <w:t xml:space="preserve">London </w:t>
      </w:r>
    </w:p>
    <w:p w:rsidR="00000000" w:rsidDel="00000000" w:rsidP="00000000" w:rsidRDefault="00000000" w:rsidRPr="00000000" w14:paraId="00000004">
      <w:pPr>
        <w:rPr>
          <w:rFonts w:ascii="Nunito Sans" w:cs="Nunito Sans" w:eastAsia="Nunito Sans" w:hAnsi="Nunito Sans"/>
          <w:b w:val="1"/>
          <w:bCs w:val="1"/>
        </w:rPr>
      </w:pPr>
      <w:r w:rsidDel="00000000" w:rsidR="00000000" w:rsidRPr="00000000">
        <w:rPr>
          <w:rFonts w:ascii="Nunito Sans" w:cs="Nunito Sans" w:eastAsia="Nunito Sans" w:hAnsi="Nunito Sans"/>
          <w:color w:val="212529"/>
          <w:highlight w:val="white"/>
          <w:rtl w:val="0"/>
        </w:rPr>
        <w:t xml:space="preserve">SW1A 0AA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rPr>
          <w:rFonts w:ascii="Nunito Sans" w:cs="Nunito Sans" w:eastAsia="Nunito Sans" w:hAnsi="Nunito Sans"/>
          <w:color w:val="212529"/>
          <w:highlight w:val="white"/>
        </w:rPr>
      </w:pPr>
      <w:r w:rsidDel="00000000" w:rsidR="00000000" w:rsidRPr="00000000">
        <w:rPr>
          <w:rFonts w:ascii="Nunito Sans" w:cs="Nunito Sans" w:eastAsia="Nunito Sans" w:hAnsi="Nunito Sans"/>
          <w:color w:val="212529"/>
          <w:highlight w:val="white"/>
          <w:rtl w:val="0"/>
        </w:rPr>
        <w:t xml:space="preserve">Dear Mr Mishra, </w:t>
      </w:r>
    </w:p>
    <w:p w:rsidR="00000000" w:rsidDel="00000000" w:rsidP="00000000" w:rsidRDefault="00000000" w:rsidRPr="00000000" w14:paraId="00000007">
      <w:pPr>
        <w:spacing w:after="200" w:lineRule="auto"/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color w:val="212529"/>
          <w:highlight w:val="white"/>
          <w:rtl w:val="0"/>
        </w:rPr>
        <w:t xml:space="preserve">I am writing on behalf of OUTpatients, 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the UK’s LGBTIQ+ cancer charity, to call for </w:t>
      </w:r>
      <w:r w:rsidDel="00000000" w:rsidR="00000000" w:rsidRPr="00000000">
        <w:rPr>
          <w:rFonts w:ascii="Nunito Sans" w:cs="Nunito Sans" w:eastAsia="Nunito Sans" w:hAnsi="Nunito Sans"/>
          <w:color w:val="212529"/>
          <w:highlight w:val="white"/>
          <w:rtl w:val="0"/>
        </w:rPr>
        <w:t xml:space="preserve">the All-Party Parliamentary Group on Cancer to hold a session on LGBTIQ+ inequalities across the cancer pathway. This is vital 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in light of recent data released by the Office for National Statistics which found that lesbian, gay, and bisexual people are 12% more likely to die from cancer than heterosexual people in England and Wale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s, with this increasing to 23% more likely in the North East and 22% in the South East.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Inequalities persist throughout the cancer pathway and negatively impact timely diagnosis, ratings of cancer care, and LGBTIQ+ patient outcomes. These include: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Barriers to screening invitations and uptake, particularly in breast screening.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A lack of agreed or approved reference ranges or biopsy procedures designed specifically for transgender people in diagnostic and screening services.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Poorer ratings of cancer care in the National Cancer Patient Experience Survey year on year, especially among bisexual people.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A lack of routine data collection about sexual orientation and gender identity, making it harder to identify evidence-based interventions for LGBTIQ+ patients.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Rule="auto"/>
        <w:ind w:left="720" w:hanging="360"/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Limited professional awareness, knowledge, and confidence on LGBTIQ+ patients' needs, contributing to poorer experiences and a lack of LGBTIQ+ inclusive services.</w:t>
      </w:r>
    </w:p>
    <w:p w:rsidR="00000000" w:rsidDel="00000000" w:rsidP="00000000" w:rsidRDefault="00000000" w:rsidRPr="00000000" w14:paraId="0000000E">
      <w:pPr>
        <w:spacing w:after="200" w:lineRule="auto"/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The National Cancer Plan for England highlights that LGBTIQ+ people with cancer</w:t>
      </w:r>
      <w:r w:rsidDel="00000000" w:rsidR="00000000" w:rsidRPr="00000000">
        <w:rPr>
          <w:rFonts w:ascii="Nunito Sans" w:cs="Nunito Sans" w:eastAsia="Nunito Sans" w:hAnsi="Nunito Sans"/>
          <w:b w:val="1"/>
          <w:bCs w:val="1"/>
          <w:rtl w:val="0"/>
        </w:rPr>
        <w:t xml:space="preserve"> 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face barriers including discrimination, a lack of inclusive services, and systemic barriers to equitable care.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Thus, we would welcome the opportunity to discuss these issues and potential solutions alongside other experts at an All-Party Parliamentary Group meeting. As the leading voice at this intersection, we would be happy to support the development and delivery of this session, including providing a list of potential speakers for the session.</w:t>
      </w:r>
    </w:p>
    <w:p w:rsidR="00000000" w:rsidDel="00000000" w:rsidP="00000000" w:rsidRDefault="00000000" w:rsidRPr="00000000" w14:paraId="00000010">
      <w:pPr>
        <w:spacing w:after="200" w:lineRule="auto"/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Thank you for your consideration and we look forward to our continued work together through the </w:t>
      </w:r>
      <w:r w:rsidDel="00000000" w:rsidR="00000000" w:rsidRPr="00000000">
        <w:rPr>
          <w:rFonts w:ascii="Nunito Sans" w:cs="Nunito Sans" w:eastAsia="Nunito Sans" w:hAnsi="Nunito Sans"/>
          <w:color w:val="212529"/>
          <w:highlight w:val="white"/>
          <w:rtl w:val="0"/>
        </w:rPr>
        <w:t xml:space="preserve">All-Party Parliamentary Group on Cancer.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Yours sincerely,</w:t>
      </w:r>
    </w:p>
    <w:p w:rsidR="00000000" w:rsidDel="00000000" w:rsidP="00000000" w:rsidRDefault="00000000" w:rsidRPr="00000000" w14:paraId="00000012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104776</wp:posOffset>
            </wp:positionH>
            <wp:positionV relativeFrom="paragraph">
              <wp:posOffset>142933</wp:posOffset>
            </wp:positionV>
            <wp:extent cx="958850" cy="373380"/>
            <wp:effectExtent b="0" l="0" r="0" t="0"/>
            <wp:wrapSquare wrapText="bothSides" distB="0" distT="0" distL="114300" distR="114300"/>
            <wp:docPr descr="A black signature on a white background&#10;&#10;AI-generated content may be incorrect." id="3" name="image3.png"/>
            <a:graphic>
              <a:graphicData uri="http://schemas.openxmlformats.org/drawingml/2006/picture">
                <pic:pic>
                  <pic:nvPicPr>
                    <pic:cNvPr descr="A black signature on a white background&#10;&#10;AI-generated content may be incorrect." id="0" name="image3.png"/>
                    <pic:cNvPicPr preferRelativeResize="0"/>
                  </pic:nvPicPr>
                  <pic:blipFill>
                    <a:blip r:embed="rId6"/>
                    <a:srcRect b="0" l="0" r="0" t="18576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3733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2914650</wp:posOffset>
            </wp:positionH>
            <wp:positionV relativeFrom="paragraph">
              <wp:posOffset>104775</wp:posOffset>
            </wp:positionV>
            <wp:extent cx="788894" cy="412520"/>
            <wp:effectExtent b="0" l="0" r="0" t="0"/>
            <wp:wrapNone/>
            <wp:docPr descr="A drawing of a rock&#10;&#10;AI-generated content may be incorrect." id="2" name="image1.png"/>
            <a:graphic>
              <a:graphicData uri="http://schemas.openxmlformats.org/drawingml/2006/picture">
                <pic:pic>
                  <pic:nvPicPr>
                    <pic:cNvPr descr="A drawing of a rock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14218"/>
                    <a:stretch>
                      <a:fillRect/>
                    </a:stretch>
                  </pic:blipFill>
                  <pic:spPr>
                    <a:xfrm>
                      <a:off x="0" y="0"/>
                      <a:ext cx="788894" cy="412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spacing w:line="276.0005454545455" w:lineRule="auto"/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2914650</wp:posOffset>
                </wp:positionH>
                <wp:positionV relativeFrom="paragraph">
                  <wp:posOffset>171450</wp:posOffset>
                </wp:positionV>
                <wp:extent cx="2349650" cy="67540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80700" y="3452788"/>
                          <a:ext cx="2330600" cy="654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Nunito Sans" w:cs="Nunito Sans" w:eastAsia="Nunito Sans" w:hAnsi="Nunito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Lee Dibben (they/them)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Nunito Sans" w:cs="Nunito Sans" w:eastAsia="Nunito Sans" w:hAnsi="Nunito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Nunito Sans" w:cs="Nunito Sans" w:eastAsia="Nunito Sans" w:hAnsi="Nuni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Policy &amp; Education Manager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Nunito Sans" w:cs="Nunito Sans" w:eastAsia="Nunito Sans" w:hAnsi="Nuni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Nunito Sans" w:cs="Nunito Sans" w:eastAsia="Nunito Sans" w:hAnsi="Nuni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OUTpatients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2914650</wp:posOffset>
                </wp:positionH>
                <wp:positionV relativeFrom="paragraph">
                  <wp:posOffset>171450</wp:posOffset>
                </wp:positionV>
                <wp:extent cx="2349650" cy="67540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650" cy="675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widowControl w:val="0"/>
        <w:spacing w:line="276" w:lineRule="auto"/>
        <w:rPr>
          <w:rFonts w:ascii="Nunito Sans" w:cs="Nunito Sans" w:eastAsia="Nunito Sans" w:hAnsi="Nunito Sans"/>
          <w:b w:val="1"/>
          <w:bCs w:val="1"/>
        </w:rPr>
      </w:pPr>
      <w:r w:rsidDel="00000000" w:rsidR="00000000" w:rsidRPr="00000000">
        <w:rPr>
          <w:rFonts w:ascii="Nunito Sans" w:cs="Nunito Sans" w:eastAsia="Nunito Sans" w:hAnsi="Nunito Sans"/>
          <w:b w:val="1"/>
          <w:bCs w:val="1"/>
          <w:rtl w:val="0"/>
        </w:rPr>
        <w:t xml:space="preserve">Ezra Johnson (he/him) </w:t>
        <w:tab/>
        <w:tab/>
        <w:tab/>
      </w:r>
    </w:p>
    <w:p w:rsidR="00000000" w:rsidDel="00000000" w:rsidP="00000000" w:rsidRDefault="00000000" w:rsidRPr="00000000" w14:paraId="00000016">
      <w:pPr>
        <w:widowControl w:val="0"/>
        <w:spacing w:line="276" w:lineRule="auto"/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Public Affairs Manager </w:t>
      </w:r>
    </w:p>
    <w:p w:rsidR="00000000" w:rsidDel="00000000" w:rsidP="00000000" w:rsidRDefault="00000000" w:rsidRPr="00000000" w14:paraId="00000017">
      <w:pPr>
        <w:widowControl w:val="0"/>
        <w:spacing w:line="276" w:lineRule="auto"/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OUTpatients</w:t>
      </w:r>
    </w:p>
    <w:sectPr>
      <w:headerReference r:id="rId9" w:type="default"/>
      <w:pgSz w:h="16838" w:w="11906" w:orient="portrait"/>
      <w:pgMar w:bottom="1152" w:top="1152" w:left="1094.4" w:right="1094.4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764419" cy="333369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4419" cy="3333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Sans-regular.ttf"/><Relationship Id="rId2" Type="http://schemas.openxmlformats.org/officeDocument/2006/relationships/font" Target="fonts/NunitoSans-bold.ttf"/><Relationship Id="rId3" Type="http://schemas.openxmlformats.org/officeDocument/2006/relationships/font" Target="fonts/NunitoSans-italic.ttf"/><Relationship Id="rId4" Type="http://schemas.openxmlformats.org/officeDocument/2006/relationships/font" Target="fonts/Nuni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